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86"/>
        <w:gridCol w:w="6279"/>
      </w:tblGrid>
      <w:tr>
        <w:tc>
          <w:tcPr>
            <w:tcW w:type="dxa" w:w="41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drawing>
                <wp:inline distT="0" distB="0" distL="0" distR="0">
                  <wp:extent cx="1238250" cy="314325"/>
                  <wp:effectExtent t="0" r="0" b="0" l="0"/>
                  <wp:docPr id="5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5BC0CE"/>
                <w:sz w:val="30"/>
                <w:szCs w:val="30"/>
              </w:rPr>
              <w:t xml:space="preserve">PŘEDÁVACÍ PROTOKOL ÚČETNÍCH DOKLADŮ</w:t>
            </w:r>
          </w:p>
          <w:p>
            <w:pPr>
              <w:spacing w:after="0" w:before="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9"/>
                <w:szCs w:val="19"/>
              </w:rPr>
              <w:t xml:space="preserve">Číslo protokolu  </w:t>
            </w: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>....................</w:t>
            </w:r>
          </w:p>
        </w:tc>
      </w:tr>
    </w:tbl>
    <w:p>
      <w:pPr>
        <w:pBdr>
          <w:bottom w:val="single" w:color="5BC0CE" w:sz="16" w:space="1"/>
        </w:pBdr>
        <w:spacing w:after="120" w:before="60"/>
      </w:pPr>
      <w:r>
        <w:rPr>
          <w:rFonts w:ascii="Arial" w:cs="Arial" w:eastAsia="Arial" w:hAnsi="Arial"/>
          <w:b w:val="false"/>
          <w:bCs w:val="false"/>
          <w:color w:val="777777"/>
          <w:sz w:val="17"/>
          <w:szCs w:val="17"/>
        </w:rPr>
        <w:t xml:space="preserve">Předání podkladů účetní nebo účetní kanceláři</w:t>
      </w:r>
    </w:p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STRANY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183"/>
        <w:gridCol w:w="300"/>
        <w:gridCol w:w="1900"/>
        <w:gridCol w:w="3183"/>
      </w:tblGrid>
      <w:tr>
        <w:tc>
          <w:tcPr>
            <w:tcW w:type="dxa" w:w="508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Předávající (klient)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508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Přebírající (účetní)</w:t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Jméno / název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Jméno / název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IČO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IČO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Kontaktní osoba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Kontaktní osoba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Telefon, e-mail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Telefon, e-mail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OBDOBÍ A ZPŮSOB PŘEDÁNÍ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8"/>
        <w:gridCol w:w="3035"/>
        <w:gridCol w:w="2198"/>
        <w:gridCol w:w="3035"/>
      </w:tblGrid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Účetní období (měsíc)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Způsob předání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00"/>
        <w:jc w:val="left"/>
      </w:pPr>
      <w:r>
        <w:rPr>
          <w:rFonts w:ascii="Arial" w:cs="Arial" w:eastAsia="Arial" w:hAnsi="Arial"/>
          <w:b w:val="false"/>
          <w:bCs w:val="false"/>
          <w:color w:val="333333"/>
          <w:sz w:val="18"/>
          <w:szCs w:val="18"/>
        </w:rPr>
        <w:t xml:space="preserve">☐  osobně      ☐  poštou      ☐  elektronicky</w:t>
      </w:r>
    </w:p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SEZNAM PŘEDANÝCH DOKLADŮ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58"/>
        <w:gridCol w:w="2512"/>
        <w:gridCol w:w="1047"/>
        <w:gridCol w:w="3349"/>
      </w:tblGrid>
      <w:tr>
        <w:trPr>
          <w:tblHeader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Druh dokladu</w:t>
            </w:r>
          </w:p>
        </w:tc>
        <w:tc>
          <w:tcPr>
            <w:tcW w:type="dxa" w:w="2512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Číslo od – do</w:t>
            </w:r>
          </w:p>
        </w:tc>
        <w:tc>
          <w:tcPr>
            <w:tcW w:type="dxa" w:w="104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Počet</w:t>
            </w:r>
          </w:p>
        </w:tc>
        <w:tc>
          <w:tcPr>
            <w:tcW w:type="dxa" w:w="3349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Poznámka</w:t>
            </w:r>
          </w:p>
        </w:tc>
      </w:tr>
      <w:tr>
        <w:trPr>
          <w:trHeight w:val="340" w:hRule="atLeast"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Vydané faktury</w:t>
            </w:r>
          </w:p>
        </w:tc>
        <w:tc>
          <w:tcPr>
            <w:tcW w:type="dxa" w:w="2512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04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349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Přijaté faktury</w:t>
            </w:r>
          </w:p>
        </w:tc>
        <w:tc>
          <w:tcPr>
            <w:tcW w:type="dxa" w:w="2512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04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349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Pokladní doklady</w:t>
            </w:r>
          </w:p>
        </w:tc>
        <w:tc>
          <w:tcPr>
            <w:tcW w:type="dxa" w:w="2512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04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349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Bankovní výpisy</w:t>
            </w:r>
          </w:p>
        </w:tc>
        <w:tc>
          <w:tcPr>
            <w:tcW w:type="dxa" w:w="2512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04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349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Smlouvy a dodatky</w:t>
            </w:r>
          </w:p>
        </w:tc>
        <w:tc>
          <w:tcPr>
            <w:tcW w:type="dxa" w:w="2512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04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349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Interní doklady</w:t>
            </w:r>
          </w:p>
        </w:tc>
        <w:tc>
          <w:tcPr>
            <w:tcW w:type="dxa" w:w="2512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04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349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Podklady ke mzdám</w:t>
            </w:r>
          </w:p>
        </w:tc>
        <w:tc>
          <w:tcPr>
            <w:tcW w:type="dxa" w:w="2512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04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349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Jiné</w:t>
            </w:r>
          </w:p>
        </w:tc>
        <w:tc>
          <w:tcPr>
            <w:tcW w:type="dxa" w:w="2512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04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349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</w:tbl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CHYBĚJÍCÍ NEBO NEÚPLNÉ DOKLADY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POTVRZENÍ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8"/>
        <w:gridCol w:w="3035"/>
        <w:gridCol w:w="2198"/>
        <w:gridCol w:w="3035"/>
      </w:tblGrid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Místo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Datum a čas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spacing w:after="500" w:before="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3"/>
        <w:gridCol w:w="800"/>
        <w:gridCol w:w="4833"/>
      </w:tblGrid>
      <w:tr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Předal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Převzal</w:t>
            </w:r>
          </w:p>
        </w:tc>
      </w:tr>
    </w:tbl>
    <w:p>
      <w:pPr>
        <w:spacing w:after="200" w:before="0"/>
      </w:pPr>
    </w:p>
    <w:p>
      <w:pPr>
        <w:spacing w:after="0" w:before="0"/>
        <w:jc w:val="center"/>
      </w:pPr>
      <w:r>
        <w:rPr>
          <w:rFonts w:ascii="Arial" w:cs="Arial" w:eastAsia="Arial" w:hAnsi="Arial"/>
          <w:b w:val="false"/>
          <w:bCs w:val="false"/>
          <w:color w:val="5BC0CE"/>
          <w:sz w:val="14"/>
          <w:szCs w:val="14"/>
        </w:rPr>
        <w:t xml:space="preserve">Vzor připravil FLOWii. Zakázky, obchodní případy a jejich přílohy evidujte online na www.flowii.com</w:t>
      </w:r>
    </w:p>
    <w:sectPr>
      <w:pgSz w:w="11906" w:h="16838" w:orient="portrait"/>
      <w:pgMar w:top="640" w:right="720" w:bottom="64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e7218d6a1a945a58f3eebc168c08a06b3c29736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Předávací protokol vzor</dc:title>
  <dc:creator>FLOWii</dc:creator>
  <cp:lastModifiedBy>Un-named</cp:lastModifiedBy>
  <cp:revision>1</cp:revision>
  <dcterms:created xsi:type="dcterms:W3CDTF">2026-11-04T21:01:33.478Z</dcterms:created>
  <dcterms:modified xsi:type="dcterms:W3CDTF">2026-11-04T21:01:33.478Z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