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67"/>
        <w:gridCol w:w="6698"/>
      </w:tblGrid>
      <w:tr>
        <w:tc>
          <w:tcPr>
            <w:tcW w:type="dxa" w:w="37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drawing>
                <wp:inline distT="0" distB="0" distL="0" distR="0">
                  <wp:extent cx="1238250" cy="314325"/>
                  <wp:effectExtent t="0" r="0" b="0" l="0"/>
                  <wp:docPr id="2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314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6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EBED0"/>
                <w:sz w:val="30"/>
                <w:szCs w:val="30"/>
              </w:rPr>
              <w:t xml:space="preserve">DOHODA O UZNANÍ DLHU A SPLÁTKOVOM KALENDÁRI</w:t>
            </w:r>
          </w:p>
          <w:p>
            <w:pPr>
              <w:spacing w:after="0" w:before="6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8"/>
                <w:szCs w:val="18"/>
              </w:rPr>
              <w:t xml:space="preserve">Číslo dohody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....................</w:t>
            </w:r>
          </w:p>
        </w:tc>
      </w:tr>
    </w:tbl>
    <w:p>
      <w:pPr>
        <w:pBdr>
          <w:bottom w:val="single" w:color="5EBED0" w:sz="16" w:space="1"/>
        </w:pBdr>
        <w:spacing w:after="160" w:before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777777"/>
          <w:sz w:val="17"/>
          <w:szCs w:val="17"/>
        </w:rPr>
        <w:t xml:space="preserve">uzatvorená podľa § 407 Obchodného zákonníka, resp. § 558 Občianskeho zákonníka</w:t>
      </w:r>
    </w:p>
    <w:p>
      <w:pPr>
        <w:keepNext/>
        <w:spacing w:after="100" w:before="240"/>
        <w:jc w:val="center"/>
      </w:pPr>
      <w:r>
        <w:rPr>
          <w:rFonts w:ascii="Arial" w:cs="Arial" w:eastAsia="Arial" w:hAnsi="Arial"/>
          <w:b/>
          <w:bCs/>
          <w:i w:val="false"/>
          <w:iCs w:val="false"/>
          <w:color w:val="5EBED0"/>
          <w:sz w:val="20"/>
          <w:szCs w:val="20"/>
        </w:rPr>
        <w:t xml:space="preserve">Článok I.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
</w:t>
      </w:r>
      <w:r>
        <w:rPr>
          <w:rFonts w:ascii="Arial" w:cs="Arial" w:eastAsia="Arial" w:hAnsi="Arial"/>
          <w:b/>
          <w:bCs/>
          <w:color w:val="333333"/>
          <w:sz w:val="20"/>
          <w:szCs w:val="20"/>
        </w:rPr>
        <w:br/>
        <w:t xml:space="preserve">Zmluvné strany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3183"/>
        <w:gridCol w:w="300"/>
        <w:gridCol w:w="1900"/>
        <w:gridCol w:w="3183"/>
      </w:tblGrid>
      <w:tr>
        <w:tc>
          <w:tcPr>
            <w:tcW w:type="dxa" w:w="5083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3333"/>
                <w:sz w:val="20"/>
                <w:szCs w:val="20"/>
              </w:rPr>
              <w:t xml:space="preserve">Veriteľ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5083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3333"/>
                <w:sz w:val="20"/>
                <w:szCs w:val="20"/>
              </w:rPr>
              <w:t xml:space="preserve">Dlžník</w:t>
            </w:r>
          </w:p>
        </w:tc>
      </w:tr>
      <w:tr>
        <w:trPr>
          <w:trHeight w:val="360" w:hRule="atLeast"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Meno / obchodné meno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Meno / obchodné meno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</w:tr>
      <w:tr>
        <w:trPr>
          <w:trHeight w:val="360" w:hRule="atLeast"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Adresa / sídlo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Adresa / sídlo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</w:tr>
      <w:tr>
        <w:trPr>
          <w:trHeight w:val="360" w:hRule="atLeast"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IČO / dátum narodenia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IČO / dátum narodenia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</w:tr>
      <w:tr>
        <w:trPr>
          <w:trHeight w:val="360" w:hRule="atLeast"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Zastúpený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Zastúpený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</w:tr>
      <w:tr>
        <w:trPr>
          <w:trHeight w:val="360" w:hRule="atLeast"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IBAN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IBAN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</w:tr>
    </w:tbl>
    <w:p>
      <w:pPr>
        <w:keepNext/>
        <w:spacing w:after="100" w:before="240"/>
        <w:jc w:val="center"/>
      </w:pPr>
      <w:r>
        <w:rPr>
          <w:rFonts w:ascii="Arial" w:cs="Arial" w:eastAsia="Arial" w:hAnsi="Arial"/>
          <w:b/>
          <w:bCs/>
          <w:i w:val="false"/>
          <w:iCs w:val="false"/>
          <w:color w:val="5EBED0"/>
          <w:sz w:val="20"/>
          <w:szCs w:val="20"/>
        </w:rPr>
        <w:t xml:space="preserve">Článok II.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
</w:t>
      </w:r>
      <w:r>
        <w:rPr>
          <w:rFonts w:ascii="Arial" w:cs="Arial" w:eastAsia="Arial" w:hAnsi="Arial"/>
          <w:b/>
          <w:bCs/>
          <w:color w:val="333333"/>
          <w:sz w:val="20"/>
          <w:szCs w:val="20"/>
        </w:rPr>
        <w:br/>
        <w:t xml:space="preserve">Uznanie dlhu</w:t>
      </w:r>
    </w:p>
    <w:p>
      <w:pPr>
        <w:spacing w:after="90" w:before="0" w:line="276"/>
        <w:ind w:left="360" w:hanging="36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1.  Dlžník uznáva, že veriteľovi dlhuje sumu </w:t>
      </w:r>
      <w:r>
        <w:rPr>
          <w:rFonts w:ascii="Arial" w:cs="Arial" w:eastAsia="Arial" w:hAnsi="Arial"/>
          <w:b/>
          <w:bCs/>
          <w:i w:val="false"/>
          <w:iCs w:val="false"/>
          <w:color w:val="333333"/>
          <w:sz w:val="20"/>
          <w:szCs w:val="20"/>
        </w:rPr>
        <w:t xml:space="preserve">.......... EUR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, ktorá vznikla z faktúr / zmluvy: ........................................................................</w:t>
      </w:r>
    </w:p>
    <w:p>
      <w:pPr>
        <w:spacing w:after="90" w:before="0" w:line="276"/>
        <w:ind w:left="360" w:hanging="36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2.  Dlžník uznáva dlh čo do dôvodu aj výšky.</w:t>
      </w:r>
    </w:p>
    <w:p>
      <w:pPr>
        <w:keepNext/>
        <w:spacing w:after="100" w:before="240"/>
        <w:jc w:val="center"/>
      </w:pPr>
      <w:r>
        <w:rPr>
          <w:rFonts w:ascii="Arial" w:cs="Arial" w:eastAsia="Arial" w:hAnsi="Arial"/>
          <w:b/>
          <w:bCs/>
          <w:i w:val="false"/>
          <w:iCs w:val="false"/>
          <w:color w:val="5EBED0"/>
          <w:sz w:val="20"/>
          <w:szCs w:val="20"/>
        </w:rPr>
        <w:t xml:space="preserve">Článok III.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
</w:t>
      </w:r>
      <w:r>
        <w:rPr>
          <w:rFonts w:ascii="Arial" w:cs="Arial" w:eastAsia="Arial" w:hAnsi="Arial"/>
          <w:b/>
          <w:bCs/>
          <w:color w:val="333333"/>
          <w:sz w:val="20"/>
          <w:szCs w:val="20"/>
        </w:rPr>
        <w:br/>
        <w:t xml:space="preserve">Splátkový kalendár</w:t>
      </w:r>
    </w:p>
    <w:p>
      <w:pPr>
        <w:spacing w:after="90" w:before="0" w:line="276"/>
        <w:ind w:left="360" w:hanging="36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1.  Dlžník zaplatí dlh v splátkach podľa tohto kalendára na účet veriteľa, variabilný symbol ..................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40"/>
        <w:gridCol w:w="3663"/>
        <w:gridCol w:w="3663"/>
      </w:tblGrid>
      <w:tr>
        <w:trPr>
          <w:tblHeader/>
        </w:trPr>
        <w:tc>
          <w:tcPr>
            <w:tcW w:type="dxa" w:w="3140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shd w:fill="5EBED0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7"/>
                <w:szCs w:val="17"/>
              </w:rPr>
              <w:t xml:space="preserve">Splátka</w:t>
            </w:r>
          </w:p>
        </w:tc>
        <w:tc>
          <w:tcPr>
            <w:tcW w:type="dxa" w:w="366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shd w:fill="5EBED0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7"/>
                <w:szCs w:val="17"/>
              </w:rPr>
              <w:t xml:space="preserve">Splatná do</w:t>
            </w:r>
          </w:p>
        </w:tc>
        <w:tc>
          <w:tcPr>
            <w:tcW w:type="dxa" w:w="366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shd w:fill="5EBED0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7"/>
                <w:szCs w:val="17"/>
              </w:rPr>
              <w:t xml:space="preserve">Suma (EUR)</w:t>
            </w:r>
          </w:p>
        </w:tc>
      </w:tr>
      <w:tr>
        <w:trPr>
          <w:trHeight w:val="340" w:hRule="atLeast"/>
        </w:trPr>
        <w:tc>
          <w:tcPr>
            <w:tcW w:type="dxa" w:w="3140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7"/>
                <w:szCs w:val="17"/>
              </w:rPr>
              <w:t xml:space="preserve">1.</w:t>
            </w:r>
          </w:p>
        </w:tc>
        <w:tc>
          <w:tcPr>
            <w:tcW w:type="dxa" w:w="366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right"/>
            </w:pPr>
          </w:p>
        </w:tc>
        <w:tc>
          <w:tcPr>
            <w:tcW w:type="dxa" w:w="366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right"/>
            </w:pPr>
          </w:p>
        </w:tc>
      </w:tr>
      <w:tr>
        <w:trPr>
          <w:trHeight w:val="340" w:hRule="atLeast"/>
        </w:trPr>
        <w:tc>
          <w:tcPr>
            <w:tcW w:type="dxa" w:w="3140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7"/>
                <w:szCs w:val="17"/>
              </w:rPr>
              <w:t xml:space="preserve">2.</w:t>
            </w:r>
          </w:p>
        </w:tc>
        <w:tc>
          <w:tcPr>
            <w:tcW w:type="dxa" w:w="366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right"/>
            </w:pPr>
          </w:p>
        </w:tc>
        <w:tc>
          <w:tcPr>
            <w:tcW w:type="dxa" w:w="366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right"/>
            </w:pPr>
          </w:p>
        </w:tc>
      </w:tr>
      <w:tr>
        <w:trPr>
          <w:trHeight w:val="340" w:hRule="atLeast"/>
        </w:trPr>
        <w:tc>
          <w:tcPr>
            <w:tcW w:type="dxa" w:w="3140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7"/>
                <w:szCs w:val="17"/>
              </w:rPr>
              <w:t xml:space="preserve">3.</w:t>
            </w:r>
          </w:p>
        </w:tc>
        <w:tc>
          <w:tcPr>
            <w:tcW w:type="dxa" w:w="366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right"/>
            </w:pPr>
          </w:p>
        </w:tc>
        <w:tc>
          <w:tcPr>
            <w:tcW w:type="dxa" w:w="366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right"/>
            </w:pPr>
          </w:p>
        </w:tc>
      </w:tr>
      <w:tr>
        <w:trPr>
          <w:trHeight w:val="340" w:hRule="atLeast"/>
        </w:trPr>
        <w:tc>
          <w:tcPr>
            <w:tcW w:type="dxa" w:w="3140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7"/>
                <w:szCs w:val="17"/>
              </w:rPr>
              <w:t xml:space="preserve">4.</w:t>
            </w:r>
          </w:p>
        </w:tc>
        <w:tc>
          <w:tcPr>
            <w:tcW w:type="dxa" w:w="366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right"/>
            </w:pPr>
          </w:p>
        </w:tc>
        <w:tc>
          <w:tcPr>
            <w:tcW w:type="dxa" w:w="366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right"/>
            </w:pPr>
          </w:p>
        </w:tc>
      </w:tr>
      <w:tr>
        <w:trPr>
          <w:trHeight w:val="340" w:hRule="atLeast"/>
        </w:trPr>
        <w:tc>
          <w:tcPr>
            <w:tcW w:type="dxa" w:w="3140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7"/>
                <w:szCs w:val="17"/>
              </w:rPr>
              <w:t xml:space="preserve">5.</w:t>
            </w:r>
          </w:p>
        </w:tc>
        <w:tc>
          <w:tcPr>
            <w:tcW w:type="dxa" w:w="366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right"/>
            </w:pPr>
          </w:p>
        </w:tc>
        <w:tc>
          <w:tcPr>
            <w:tcW w:type="dxa" w:w="366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right"/>
            </w:pPr>
          </w:p>
        </w:tc>
      </w:tr>
      <w:tr>
        <w:trPr>
          <w:trHeight w:val="340" w:hRule="atLeast"/>
        </w:trPr>
        <w:tc>
          <w:tcPr>
            <w:tcW w:type="dxa" w:w="3140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7"/>
                <w:szCs w:val="17"/>
              </w:rPr>
              <w:t xml:space="preserve">6.</w:t>
            </w:r>
          </w:p>
        </w:tc>
        <w:tc>
          <w:tcPr>
            <w:tcW w:type="dxa" w:w="366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right"/>
            </w:pPr>
          </w:p>
        </w:tc>
        <w:tc>
          <w:tcPr>
            <w:tcW w:type="dxa" w:w="366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right"/>
            </w:pPr>
          </w:p>
        </w:tc>
      </w:tr>
      <w:tr>
        <w:trPr>
          <w:trHeight w:val="340" w:hRule="atLeast"/>
        </w:trPr>
        <w:tc>
          <w:tcPr>
            <w:tcW w:type="dxa" w:w="3140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3333"/>
                <w:sz w:val="17"/>
                <w:szCs w:val="17"/>
              </w:rPr>
              <w:t xml:space="preserve">Spolu</w:t>
            </w:r>
          </w:p>
        </w:tc>
        <w:tc>
          <w:tcPr>
            <w:tcW w:type="dxa" w:w="366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right"/>
            </w:pPr>
          </w:p>
        </w:tc>
        <w:tc>
          <w:tcPr>
            <w:tcW w:type="dxa" w:w="366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right"/>
            </w:pPr>
          </w:p>
        </w:tc>
      </w:tr>
    </w:tbl>
    <w:p>
      <w:pPr>
        <w:spacing w:after="60" w:before="0"/>
      </w:pPr>
    </w:p>
    <w:p>
      <w:pPr>
        <w:spacing w:after="90" w:before="0" w:line="276"/>
        <w:ind w:left="360" w:hanging="36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2.  Ak je dlžník v omeškaní so zaplatením ktorejkoľvek splátky o viac ako .......... dní, stáva sa splatným celý zostatok dlhu a veriteľ je oprávnený ho vymáhať.</w:t>
      </w:r>
    </w:p>
    <w:p>
      <w:pPr>
        <w:spacing w:after="90" w:before="0" w:line="276"/>
        <w:ind w:left="360" w:hanging="36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3.  Počas riadneho plnenia splátok veriteľ:   ☐ neuplatní úrok z omeškania   ☐ uplatní úrok vo výške .......... % ročne.</w:t>
      </w:r>
    </w:p>
    <w:p>
      <w:pPr>
        <w:keepNext/>
        <w:spacing w:after="100" w:before="240"/>
        <w:jc w:val="center"/>
      </w:pPr>
      <w:r>
        <w:rPr>
          <w:rFonts w:ascii="Arial" w:cs="Arial" w:eastAsia="Arial" w:hAnsi="Arial"/>
          <w:b/>
          <w:bCs/>
          <w:i w:val="false"/>
          <w:iCs w:val="false"/>
          <w:color w:val="5EBED0"/>
          <w:sz w:val="20"/>
          <w:szCs w:val="20"/>
        </w:rPr>
        <w:t xml:space="preserve">Článok IV.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
</w:t>
      </w:r>
      <w:r>
        <w:rPr>
          <w:rFonts w:ascii="Arial" w:cs="Arial" w:eastAsia="Arial" w:hAnsi="Arial"/>
          <w:b/>
          <w:bCs/>
          <w:color w:val="333333"/>
          <w:sz w:val="20"/>
          <w:szCs w:val="20"/>
        </w:rPr>
        <w:br/>
        <w:t xml:space="preserve">Záverečné ustanovenia</w:t>
      </w:r>
    </w:p>
    <w:p>
      <w:pPr>
        <w:spacing w:after="90" w:before="0" w:line="276"/>
        <w:ind w:left="360" w:hanging="36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1.  Dohoda je vyhotovená v dvoch rovnopisoch, každá strana dostane jeden.</w:t>
      </w:r>
    </w:p>
    <w:p>
      <w:pPr>
        <w:spacing w:after="90" w:before="0" w:line="276"/>
        <w:ind w:left="360" w:hanging="36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2.  Dohoda nadobúda platnosť a účinnosť dňom podpisu oboma stranami.</w:t>
      </w:r>
    </w:p>
    <w:p>
      <w:pPr>
        <w:spacing w:after="80" w:before="0"/>
      </w:pP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98"/>
        <w:gridCol w:w="3035"/>
        <w:gridCol w:w="2198"/>
        <w:gridCol w:w="3035"/>
      </w:tblGrid>
      <w:tr>
        <w:trPr>
          <w:trHeight w:val="360" w:hRule="atLeast"/>
        </w:trPr>
        <w:tc>
          <w:tcPr>
            <w:tcW w:type="dxa" w:w="2198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V ............................ dňa</w:t>
            </w:r>
          </w:p>
        </w:tc>
        <w:tc>
          <w:tcPr>
            <w:tcW w:type="dxa" w:w="3035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2198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V ............................ dňa</w:t>
            </w:r>
          </w:p>
        </w:tc>
        <w:tc>
          <w:tcPr>
            <w:tcW w:type="dxa" w:w="3035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</w:tr>
    </w:tbl>
    <w:p>
      <w:pPr>
        <w:spacing w:after="560" w:before="0"/>
      </w:pP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33"/>
        <w:gridCol w:w="800"/>
        <w:gridCol w:w="4833"/>
      </w:tblGrid>
      <w:tr>
        <w:tc>
          <w:tcPr>
            <w:tcW w:type="dxa" w:w="4833"/>
            <w:tcBorders>
              <w:top w:val="single" w:color="333333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Veriteľ</w:t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4833"/>
            <w:tcBorders>
              <w:top w:val="single" w:color="333333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Dlžník</w:t>
            </w:r>
          </w:p>
        </w:tc>
      </w:tr>
    </w:tbl>
    <w:p>
      <w:pPr>
        <w:spacing w:after="80" w:before="120" w:line="276"/>
        <w:jc w:val="left"/>
      </w:pPr>
      <w:r>
        <w:rPr>
          <w:rFonts w:ascii="Arial" w:cs="Arial" w:eastAsia="Arial" w:hAnsi="Arial"/>
          <w:b w:val="false"/>
          <w:bCs w:val="false"/>
          <w:i/>
          <w:iCs/>
          <w:color w:val="777777"/>
          <w:sz w:val="16"/>
          <w:szCs w:val="16"/>
        </w:rPr>
        <w:t xml:space="preserve">Písomné uznanie dlhu má vplyv na premlčanie pohľadávky. Pri vyšších sumách odporúčame konzultáciu s právnikom.</w:t>
      </w:r>
    </w:p>
    <w:sectPr>
      <w:footerReference w:type="default" r:id="rId6"/>
      <w:pgSz w:w="11906" w:h="16838" w:orient="portrait"/>
      <w:pgMar w:top="700" w:right="720" w:bottom="800" w:left="7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b w:val="false"/>
        <w:bCs w:val="false"/>
        <w:i w:val="false"/>
        <w:iCs w:val="false"/>
        <w:color w:val="5EBED0"/>
        <w:sz w:val="14"/>
        <w:szCs w:val="14"/>
      </w:rPr>
      <w:t xml:space="preserve">Vzor pripravil FLOWii. Faktúry, úhrady a upomienky evidujte online na www.flowii.com</w:t>
    </w:r>
    <w:r>
      <w:rPr>
        <w:rFonts w:ascii="Arial" w:cs="Arial" w:eastAsia="Arial" w:hAnsi="Arial"/>
        <w:b w:val="false"/>
        <w:bCs w:val="false"/>
        <w:i w:val="false"/>
        <w:iCs w:val="false"/>
        <w:color w:val="777777"/>
        <w:sz w:val="14"/>
        <w:szCs w:val="14"/>
      </w:rPr>
      <w:t xml:space="preserve">     strana </w:t>
    </w:r>
    <w:r>
      <w:rPr>
        <w:rFonts w:ascii="Arial" w:cs="Arial" w:eastAsia="Arial" w:hAnsi="Arial"/>
        <w:color w:val="777777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image" Target="media/e7218d6a1a945a58f3eebc168c08a06b3c297368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FLOWii</dc:creator>
  <cp:lastModifiedBy>Un-named</cp:lastModifiedBy>
  <cp:revision>1</cp:revision>
  <dcterms:created xsi:type="dcterms:W3CDTF">2026-11-05T10:40:46.772Z</dcterms:created>
  <dcterms:modified xsi:type="dcterms:W3CDTF">2026-11-05T10:40:46.772Z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